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959" w:rsidRDefault="00953429" w:rsidP="00953429">
      <w:pPr>
        <w:keepNext/>
        <w:tabs>
          <w:tab w:val="left" w:pos="2977"/>
        </w:tabs>
        <w:jc w:val="right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ab/>
      </w:r>
      <w:r>
        <w:rPr>
          <w:rFonts w:ascii="Arial" w:eastAsia="Arial" w:hAnsi="Arial" w:cs="Arial"/>
          <w:b/>
          <w:color w:val="000000"/>
        </w:rPr>
        <w:tab/>
      </w:r>
      <w:r>
        <w:rPr>
          <w:rFonts w:ascii="Arial" w:eastAsia="Arial" w:hAnsi="Arial" w:cs="Arial"/>
          <w:b/>
          <w:color w:val="000000"/>
        </w:rPr>
        <w:tab/>
        <w:t xml:space="preserve">   </w:t>
      </w:r>
      <w:r w:rsidR="00340FC4">
        <w:rPr>
          <w:rFonts w:ascii="Arial" w:eastAsia="Arial" w:hAnsi="Arial" w:cs="Arial"/>
          <w:b/>
          <w:color w:val="000000"/>
        </w:rPr>
        <w:t xml:space="preserve">                       RESOLUCIÓ</w:t>
      </w:r>
      <w:r>
        <w:rPr>
          <w:rFonts w:ascii="Arial" w:eastAsia="Arial" w:hAnsi="Arial" w:cs="Arial"/>
          <w:b/>
          <w:color w:val="000000"/>
        </w:rPr>
        <w:t>N DL N°  03</w:t>
      </w:r>
      <w:r w:rsidR="003C2A73">
        <w:rPr>
          <w:rFonts w:ascii="Arial" w:eastAsia="Arial" w:hAnsi="Arial" w:cs="Arial"/>
          <w:b/>
          <w:color w:val="000000"/>
        </w:rPr>
        <w:t xml:space="preserve"> /2024.-</w:t>
      </w:r>
    </w:p>
    <w:p w:rsidR="003C4959" w:rsidRDefault="003C4959">
      <w:pPr>
        <w:jc w:val="right"/>
        <w:rPr>
          <w:rFonts w:ascii="Arial" w:eastAsia="Arial" w:hAnsi="Arial" w:cs="Arial"/>
          <w:b/>
        </w:rPr>
      </w:pPr>
    </w:p>
    <w:p w:rsidR="003C4959" w:rsidRDefault="003C4959">
      <w:pPr>
        <w:jc w:val="both"/>
        <w:rPr>
          <w:rFonts w:ascii="Arial" w:eastAsia="Arial" w:hAnsi="Arial" w:cs="Arial"/>
          <w:b/>
        </w:rPr>
      </w:pPr>
    </w:p>
    <w:p w:rsidR="003C4959" w:rsidRPr="00401766" w:rsidRDefault="003C2A73">
      <w:pPr>
        <w:jc w:val="both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  <w:b/>
        </w:rPr>
        <w:t xml:space="preserve">VISTO: </w:t>
      </w:r>
    </w:p>
    <w:p w:rsidR="003C4959" w:rsidRPr="00401766" w:rsidRDefault="006C6930" w:rsidP="006C6930">
      <w:pPr>
        <w:tabs>
          <w:tab w:val="left" w:pos="1701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 w:rsidR="003C2A73" w:rsidRPr="00401766">
        <w:rPr>
          <w:rFonts w:ascii="Arial" w:eastAsia="Arial" w:hAnsi="Arial" w:cs="Arial"/>
        </w:rPr>
        <w:t>El expediente N° 013-SVOPeI-2022; y La carta Orgánica Municipal</w:t>
      </w:r>
    </w:p>
    <w:p w:rsidR="003C4959" w:rsidRPr="00401766" w:rsidRDefault="003C4959">
      <w:pPr>
        <w:ind w:firstLine="2160"/>
        <w:jc w:val="both"/>
        <w:rPr>
          <w:rFonts w:ascii="Arial" w:eastAsia="Arial" w:hAnsi="Arial" w:cs="Arial"/>
        </w:rPr>
      </w:pPr>
    </w:p>
    <w:p w:rsidR="003C4959" w:rsidRPr="00401766" w:rsidRDefault="003C2A73">
      <w:pPr>
        <w:jc w:val="both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  <w:b/>
        </w:rPr>
        <w:t>CONSIDERANDO:</w:t>
      </w:r>
    </w:p>
    <w:p w:rsidR="003C4959" w:rsidRPr="00401766" w:rsidRDefault="003C4959">
      <w:pPr>
        <w:tabs>
          <w:tab w:val="left" w:pos="2410"/>
        </w:tabs>
        <w:jc w:val="both"/>
        <w:rPr>
          <w:rFonts w:ascii="Arial" w:eastAsia="Arial" w:hAnsi="Arial" w:cs="Arial"/>
          <w:b/>
        </w:rPr>
      </w:pPr>
    </w:p>
    <w:p w:rsidR="003C4959" w:rsidRPr="00401766" w:rsidRDefault="003C2A73" w:rsidP="006C6930">
      <w:pPr>
        <w:tabs>
          <w:tab w:val="left" w:pos="1701"/>
        </w:tabs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  <w:b/>
        </w:rPr>
        <w:t xml:space="preserve">                            </w:t>
      </w:r>
      <w:r w:rsidRPr="00401766">
        <w:rPr>
          <w:rFonts w:ascii="Arial" w:eastAsia="Arial" w:hAnsi="Arial" w:cs="Arial"/>
        </w:rPr>
        <w:t>Que, el Municipio tiene deberes ineludibles, exclusivos, indelegables e irrenunciables frente a las necesidades sociales y que es de vital importancia para los vecinos de nuestra localidad incluidos en dichos proyectos, contar con la previsión de gas natural por red;</w:t>
      </w:r>
    </w:p>
    <w:p w:rsidR="003C4959" w:rsidRPr="00401766" w:rsidRDefault="003C4959">
      <w:pPr>
        <w:tabs>
          <w:tab w:val="left" w:pos="2410"/>
        </w:tabs>
        <w:ind w:firstLine="1276"/>
        <w:jc w:val="both"/>
        <w:rPr>
          <w:rFonts w:ascii="Arial" w:eastAsia="Arial" w:hAnsi="Arial" w:cs="Arial"/>
        </w:rPr>
      </w:pPr>
    </w:p>
    <w:p w:rsidR="003C4959" w:rsidRPr="00401766" w:rsidRDefault="003C2A73">
      <w:pPr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</w:rPr>
        <w:t xml:space="preserve">                          Que, por tratarse el gas natural, de un servicio básico considerado por la comunidad como uno de los ma</w:t>
      </w:r>
      <w:r w:rsidR="00980D53">
        <w:rPr>
          <w:rFonts w:ascii="Arial" w:eastAsia="Arial" w:hAnsi="Arial" w:cs="Arial"/>
        </w:rPr>
        <w:t>yores impulsos para su progreso</w:t>
      </w:r>
      <w:r w:rsidRPr="00401766">
        <w:rPr>
          <w:rFonts w:ascii="Arial" w:eastAsia="Arial" w:hAnsi="Arial" w:cs="Arial"/>
        </w:rPr>
        <w:t xml:space="preserve"> económico y bienestar, es que se debe brindar el apoyo necesario para su concreción;</w:t>
      </w:r>
    </w:p>
    <w:p w:rsidR="003C4959" w:rsidRPr="00401766" w:rsidRDefault="003C4959">
      <w:pPr>
        <w:jc w:val="both"/>
        <w:rPr>
          <w:rFonts w:ascii="Arial" w:eastAsia="Arial" w:hAnsi="Arial" w:cs="Arial"/>
        </w:rPr>
      </w:pPr>
    </w:p>
    <w:p w:rsidR="003C4959" w:rsidRPr="00401766" w:rsidRDefault="003C2A73">
      <w:pPr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</w:rPr>
        <w:t xml:space="preserve">                           Que, se hace difícil para los contribuyentes de los distintos sectores, acceder a las redes de gas domiciliario;</w:t>
      </w:r>
    </w:p>
    <w:p w:rsidR="003C4959" w:rsidRPr="00401766" w:rsidRDefault="003C2A73">
      <w:pPr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</w:rPr>
        <w:t xml:space="preserve"> </w:t>
      </w:r>
    </w:p>
    <w:p w:rsidR="003C4959" w:rsidRPr="00401766" w:rsidRDefault="003C2A73">
      <w:pPr>
        <w:ind w:firstLine="1559"/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</w:rPr>
        <w:t xml:space="preserve">   Que, es absolutamente necesario que el Municipio, participe directamente de la solución de este problema y que las obras necesarias lleguen a la mayor cantidad de vecinos posibles, dados los beneficios económicos que obtienen el contar con gas natural por red;</w:t>
      </w:r>
    </w:p>
    <w:p w:rsidR="003C4959" w:rsidRPr="00401766" w:rsidRDefault="003C4959">
      <w:pPr>
        <w:jc w:val="both"/>
        <w:rPr>
          <w:rFonts w:ascii="Arial" w:eastAsia="Arial" w:hAnsi="Arial" w:cs="Arial"/>
        </w:rPr>
      </w:pPr>
    </w:p>
    <w:p w:rsidR="003C4959" w:rsidRPr="00401766" w:rsidRDefault="003C2A73">
      <w:pPr>
        <w:jc w:val="both"/>
        <w:rPr>
          <w:rFonts w:ascii="Arial" w:eastAsia="Arial" w:hAnsi="Arial" w:cs="Arial"/>
          <w:highlight w:val="white"/>
        </w:rPr>
      </w:pPr>
      <w:r w:rsidRPr="00401766">
        <w:rPr>
          <w:rFonts w:ascii="Arial" w:eastAsia="Arial" w:hAnsi="Arial" w:cs="Arial"/>
        </w:rPr>
        <w:t xml:space="preserve">                             Que, los vecinos de la “Manzana K”, sobre calle Maestro Pérez 830 lote 6 A; sobre calle Maestro Pérez 870 Lote 6 B; sobre calle Maestro Pérez y Boulevard Amancay s/n lote 6 C; sobre calle Boulevard Amancay 814 Lote 6 D;  sobre calle Boulevard Amancay 812 Lote 6 F. sobre calle Boulevard Amancay 850 Lote 6 G; Sobre calle Maestro Pérez y </w:t>
      </w:r>
      <w:proofErr w:type="spellStart"/>
      <w:r w:rsidRPr="00401766">
        <w:rPr>
          <w:rFonts w:ascii="Arial" w:eastAsia="Arial" w:hAnsi="Arial" w:cs="Arial"/>
        </w:rPr>
        <w:t>Munar</w:t>
      </w:r>
      <w:proofErr w:type="spellEnd"/>
      <w:r w:rsidRPr="00401766">
        <w:rPr>
          <w:rFonts w:ascii="Arial" w:eastAsia="Arial" w:hAnsi="Arial" w:cs="Arial"/>
        </w:rPr>
        <w:t xml:space="preserve"> Lote 6H; sobre calle Boulevard Amancay 872 Lote 6 I, Y sobre calle Boulevard Amancay S/N° Lote 6 J,</w:t>
      </w:r>
      <w:r w:rsidRPr="00401766">
        <w:rPr>
          <w:rFonts w:ascii="Arial" w:eastAsia="Arial" w:hAnsi="Arial" w:cs="Arial"/>
          <w:highlight w:val="white"/>
        </w:rPr>
        <w:t xml:space="preserve"> han requerido la obra de gas natural; </w:t>
      </w:r>
    </w:p>
    <w:p w:rsidR="003C4959" w:rsidRPr="00401766" w:rsidRDefault="003C2A73">
      <w:pPr>
        <w:jc w:val="both"/>
        <w:rPr>
          <w:rFonts w:ascii="Arial" w:eastAsia="Arial" w:hAnsi="Arial" w:cs="Arial"/>
          <w:highlight w:val="white"/>
        </w:rPr>
      </w:pPr>
      <w:r w:rsidRPr="00401766">
        <w:rPr>
          <w:rFonts w:ascii="Arial" w:eastAsia="Arial" w:hAnsi="Arial" w:cs="Arial"/>
          <w:highlight w:val="white"/>
        </w:rPr>
        <w:t xml:space="preserve">   </w:t>
      </w:r>
      <w:r w:rsidR="00717139" w:rsidRPr="00401766">
        <w:rPr>
          <w:rFonts w:ascii="Arial" w:eastAsia="Arial" w:hAnsi="Arial" w:cs="Arial"/>
          <w:highlight w:val="white"/>
        </w:rPr>
        <w:t xml:space="preserve">                              </w:t>
      </w:r>
      <w:r w:rsidRPr="00401766">
        <w:rPr>
          <w:rFonts w:ascii="Arial" w:eastAsia="Arial" w:hAnsi="Arial" w:cs="Arial"/>
          <w:highlight w:val="white"/>
        </w:rPr>
        <w:t xml:space="preserve">                          </w:t>
      </w:r>
      <w:r w:rsidRPr="00401766">
        <w:rPr>
          <w:rFonts w:ascii="Arial" w:eastAsia="Arial" w:hAnsi="Arial" w:cs="Arial"/>
          <w:highlight w:val="white"/>
        </w:rPr>
        <w:tab/>
      </w:r>
      <w:r w:rsidRPr="00401766">
        <w:rPr>
          <w:rFonts w:ascii="Arial" w:eastAsia="Arial" w:hAnsi="Arial" w:cs="Arial"/>
          <w:highlight w:val="white"/>
        </w:rPr>
        <w:tab/>
      </w:r>
    </w:p>
    <w:p w:rsidR="003C4959" w:rsidRPr="00401766" w:rsidRDefault="003C2A73">
      <w:pPr>
        <w:ind w:firstLine="2267"/>
        <w:jc w:val="both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</w:rPr>
        <w:t>Que, el mencionado aporte fue recibido en el marco del Convenio Marco de Asistencia y Colaboración entre el Gobierno de la Provincia de Neuquén y la Municipa</w:t>
      </w:r>
      <w:r w:rsidR="003D3A2D">
        <w:rPr>
          <w:rFonts w:ascii="Arial" w:eastAsia="Arial" w:hAnsi="Arial" w:cs="Arial"/>
        </w:rPr>
        <w:t>lidad de Villa la Angostura perí</w:t>
      </w:r>
      <w:r w:rsidRPr="00401766">
        <w:rPr>
          <w:rFonts w:ascii="Arial" w:eastAsia="Arial" w:hAnsi="Arial" w:cs="Arial"/>
        </w:rPr>
        <w:t>odo Marzo 2024/2025 aprobado mediante Ordenanza 4123/2024</w:t>
      </w:r>
      <w:r w:rsidR="00E27135">
        <w:rPr>
          <w:rFonts w:ascii="Arial" w:eastAsia="Arial" w:hAnsi="Arial" w:cs="Arial"/>
        </w:rPr>
        <w:t>;</w:t>
      </w:r>
      <w:r w:rsidRPr="00401766">
        <w:rPr>
          <w:rFonts w:ascii="Arial" w:eastAsia="Arial" w:hAnsi="Arial" w:cs="Arial"/>
          <w:b/>
        </w:rPr>
        <w:t xml:space="preserve"> </w:t>
      </w:r>
    </w:p>
    <w:p w:rsidR="003C4959" w:rsidRPr="00401766" w:rsidRDefault="003C4959">
      <w:pPr>
        <w:ind w:firstLine="2267"/>
        <w:jc w:val="both"/>
        <w:rPr>
          <w:rFonts w:ascii="Arial" w:eastAsia="Arial" w:hAnsi="Arial" w:cs="Arial"/>
          <w:b/>
        </w:rPr>
      </w:pPr>
    </w:p>
    <w:p w:rsidR="003C4959" w:rsidRPr="00401766" w:rsidRDefault="003C2A73">
      <w:pPr>
        <w:jc w:val="both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  <w:highlight w:val="white"/>
        </w:rPr>
        <w:t xml:space="preserve">                </w:t>
      </w:r>
      <w:r w:rsidR="00AF496D">
        <w:rPr>
          <w:rFonts w:ascii="Arial" w:eastAsia="Arial" w:hAnsi="Arial" w:cs="Arial"/>
          <w:highlight w:val="white"/>
        </w:rPr>
        <w:t xml:space="preserve">              Que el día 21 de Mayo de 2024 en  C</w:t>
      </w:r>
      <w:r w:rsidRPr="00401766">
        <w:rPr>
          <w:rFonts w:ascii="Arial" w:eastAsia="Arial" w:hAnsi="Arial" w:cs="Arial"/>
          <w:highlight w:val="white"/>
        </w:rPr>
        <w:t>omisión 3,  se  resolvió avanzar con el reordenamiento de la mensura por medio de una resolución emitida por la Secretaría de Planeamiento, Obras Públicas y Medio Ambiente</w:t>
      </w:r>
      <w:r w:rsidR="00AF496D">
        <w:rPr>
          <w:rFonts w:ascii="Arial" w:eastAsia="Arial" w:hAnsi="Arial" w:cs="Arial"/>
          <w:highlight w:val="white"/>
        </w:rPr>
        <w:t>,</w:t>
      </w:r>
      <w:r w:rsidRPr="00401766">
        <w:rPr>
          <w:rFonts w:ascii="Arial" w:eastAsia="Arial" w:hAnsi="Arial" w:cs="Arial"/>
          <w:highlight w:val="white"/>
        </w:rPr>
        <w:t xml:space="preserve">  respetando los pilares de luz y cercos existentes;</w:t>
      </w:r>
    </w:p>
    <w:p w:rsidR="003C4959" w:rsidRPr="00401766" w:rsidRDefault="003C2A73">
      <w:pPr>
        <w:tabs>
          <w:tab w:val="left" w:pos="2190"/>
          <w:tab w:val="left" w:pos="2552"/>
        </w:tabs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</w:rPr>
        <w:t xml:space="preserve">                                        </w:t>
      </w:r>
    </w:p>
    <w:p w:rsidR="003C4959" w:rsidRPr="00401766" w:rsidRDefault="003C2A73" w:rsidP="009853E7">
      <w:pPr>
        <w:tabs>
          <w:tab w:val="left" w:pos="2190"/>
        </w:tabs>
        <w:jc w:val="center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</w:rPr>
        <w:t>Por ello, y conforme a lo dispuesto en el Artículo 107 de la Carta Orgánica Municipal</w:t>
      </w:r>
    </w:p>
    <w:p w:rsidR="003C4959" w:rsidRPr="00401766" w:rsidRDefault="003C4959">
      <w:pPr>
        <w:tabs>
          <w:tab w:val="left" w:pos="2190"/>
        </w:tabs>
        <w:jc w:val="both"/>
        <w:rPr>
          <w:rFonts w:ascii="Arial" w:eastAsia="Arial" w:hAnsi="Arial" w:cs="Arial"/>
        </w:rPr>
      </w:pPr>
    </w:p>
    <w:p w:rsidR="003C4959" w:rsidRPr="00401766" w:rsidRDefault="003C2A73">
      <w:pPr>
        <w:jc w:val="center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  <w:b/>
        </w:rPr>
        <w:t>El Concejo Deliberante de la Municipalidad de Villa la Angostura</w:t>
      </w:r>
    </w:p>
    <w:p w:rsidR="003C4959" w:rsidRPr="00401766" w:rsidRDefault="003C4959">
      <w:pPr>
        <w:jc w:val="both"/>
        <w:rPr>
          <w:rFonts w:ascii="Arial" w:eastAsia="Arial" w:hAnsi="Arial" w:cs="Arial"/>
          <w:b/>
        </w:rPr>
      </w:pPr>
    </w:p>
    <w:p w:rsidR="009853E7" w:rsidRDefault="003C2A73">
      <w:pPr>
        <w:jc w:val="center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  <w:b/>
        </w:rPr>
        <w:t xml:space="preserve">SANCIONA CON FUERZA DE  </w:t>
      </w:r>
    </w:p>
    <w:p w:rsidR="003C4959" w:rsidRPr="00401766" w:rsidRDefault="003C2A73">
      <w:pPr>
        <w:jc w:val="center"/>
        <w:rPr>
          <w:rFonts w:ascii="Arial" w:eastAsia="Arial" w:hAnsi="Arial" w:cs="Arial"/>
          <w:b/>
        </w:rPr>
      </w:pPr>
      <w:r w:rsidRPr="00401766">
        <w:rPr>
          <w:rFonts w:ascii="Arial" w:eastAsia="Arial" w:hAnsi="Arial" w:cs="Arial"/>
          <w:b/>
        </w:rPr>
        <w:t>ORDENANZA</w:t>
      </w:r>
    </w:p>
    <w:p w:rsidR="003C4959" w:rsidRPr="00401766" w:rsidRDefault="003C4959">
      <w:pPr>
        <w:jc w:val="center"/>
        <w:rPr>
          <w:rFonts w:ascii="Arial" w:eastAsia="Arial" w:hAnsi="Arial" w:cs="Arial"/>
          <w:b/>
        </w:rPr>
      </w:pPr>
    </w:p>
    <w:p w:rsidR="003C4959" w:rsidRDefault="001D52A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ARTÍCULO 1°: SE DECLARA</w:t>
      </w:r>
      <w:r w:rsidR="003C2A73" w:rsidRPr="00401766">
        <w:rPr>
          <w:rFonts w:ascii="Arial" w:eastAsia="Arial" w:hAnsi="Arial" w:cs="Arial"/>
          <w:b/>
        </w:rPr>
        <w:t xml:space="preserve"> </w:t>
      </w:r>
      <w:r w:rsidR="003C2A73" w:rsidRPr="00401766">
        <w:rPr>
          <w:rFonts w:ascii="Arial" w:eastAsia="Arial" w:hAnsi="Arial" w:cs="Arial"/>
        </w:rPr>
        <w:t>de Obra Pública, la extensión de la red</w:t>
      </w:r>
      <w:r>
        <w:rPr>
          <w:rFonts w:ascii="Arial" w:eastAsia="Arial" w:hAnsi="Arial" w:cs="Arial"/>
        </w:rPr>
        <w:t xml:space="preserve"> gas natural en la “Manzana K” </w:t>
      </w:r>
      <w:r w:rsidR="003C2A73" w:rsidRPr="00401766">
        <w:rPr>
          <w:rFonts w:ascii="Arial" w:eastAsia="Arial" w:hAnsi="Arial" w:cs="Arial"/>
        </w:rPr>
        <w:t xml:space="preserve">sobre calle Maestro Pérez 830 lote 6 A; sobre calle Maestro Pérez 870 Lote 6 B; sobre calle Maestro Pérez y Boulevard Amancay s/n lote 6 C; sobre calle Boulevard Amancay 814 Lote 6 D;  sobre calle Boulevard Amancay 812 Lote 6 F. sobre calle Boulevard Amancay 850 Lote 6 G; Sobre calle Maestro Pérez y  </w:t>
      </w:r>
      <w:proofErr w:type="spellStart"/>
      <w:r w:rsidR="003C2A73" w:rsidRPr="00401766">
        <w:rPr>
          <w:rFonts w:ascii="Arial" w:eastAsia="Arial" w:hAnsi="Arial" w:cs="Arial"/>
        </w:rPr>
        <w:t>Munar</w:t>
      </w:r>
      <w:proofErr w:type="spellEnd"/>
      <w:r w:rsidR="003C2A73" w:rsidRPr="00401766">
        <w:rPr>
          <w:rFonts w:ascii="Arial" w:eastAsia="Arial" w:hAnsi="Arial" w:cs="Arial"/>
        </w:rPr>
        <w:t xml:space="preserve"> Lote 6H; sobre calle Boulevard Amancay 872 Lote 6 I, Y sobre calle Boulevard Amanc</w:t>
      </w:r>
      <w:r w:rsidR="004442CA">
        <w:rPr>
          <w:rFonts w:ascii="Arial" w:eastAsia="Arial" w:hAnsi="Arial" w:cs="Arial"/>
        </w:rPr>
        <w:t xml:space="preserve">ay S/N° Lote 6 J (según </w:t>
      </w:r>
      <w:r w:rsidR="003C2A73" w:rsidRPr="00401766">
        <w:rPr>
          <w:rFonts w:ascii="Arial" w:eastAsia="Arial" w:hAnsi="Arial" w:cs="Arial"/>
        </w:rPr>
        <w:t>ANEXO I)</w:t>
      </w:r>
      <w:r>
        <w:rPr>
          <w:rFonts w:ascii="Arial" w:eastAsia="Arial" w:hAnsi="Arial" w:cs="Arial"/>
        </w:rPr>
        <w:t>.-</w:t>
      </w:r>
    </w:p>
    <w:p w:rsidR="001D52AB" w:rsidRPr="00401766" w:rsidRDefault="001D52AB">
      <w:pPr>
        <w:jc w:val="both"/>
        <w:rPr>
          <w:rFonts w:ascii="Arial" w:eastAsia="Arial" w:hAnsi="Arial" w:cs="Arial"/>
        </w:rPr>
      </w:pPr>
    </w:p>
    <w:p w:rsidR="003C4959" w:rsidRDefault="001D52AB" w:rsidP="001D52A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ARTICULO 2°: SE AUTORIZA</w:t>
      </w:r>
      <w:r w:rsidR="003C2A73" w:rsidRPr="00401766">
        <w:rPr>
          <w:rFonts w:ascii="Arial" w:eastAsia="Arial" w:hAnsi="Arial" w:cs="Arial"/>
          <w:b/>
        </w:rPr>
        <w:t xml:space="preserve"> </w:t>
      </w:r>
      <w:r w:rsidR="003C2A73" w:rsidRPr="00401766">
        <w:rPr>
          <w:rFonts w:ascii="Arial" w:eastAsia="Arial" w:hAnsi="Arial" w:cs="Arial"/>
        </w:rPr>
        <w:t>al Departamento Ejecutivo a la ejecución de la obra a través de la contratación con la Empresa LIRA S.R.L. de acuerdo al presupues</w:t>
      </w:r>
      <w:r w:rsidR="00622ADC">
        <w:rPr>
          <w:rFonts w:ascii="Arial" w:eastAsia="Arial" w:hAnsi="Arial" w:cs="Arial"/>
        </w:rPr>
        <w:t>to de fecha 14 de Marzo del corriente</w:t>
      </w:r>
      <w:r w:rsidR="003C2A73" w:rsidRPr="00401766">
        <w:rPr>
          <w:rFonts w:ascii="Arial" w:eastAsia="Arial" w:hAnsi="Arial" w:cs="Arial"/>
        </w:rPr>
        <w:t xml:space="preserve"> por un monto de</w:t>
      </w:r>
      <w:r w:rsidR="000D2764">
        <w:rPr>
          <w:rFonts w:ascii="Arial" w:eastAsia="Arial" w:hAnsi="Arial" w:cs="Arial"/>
        </w:rPr>
        <w:t xml:space="preserve"> pesos</w:t>
      </w:r>
      <w:r w:rsidR="003C2A73" w:rsidRPr="00401766">
        <w:rPr>
          <w:rFonts w:ascii="Arial" w:eastAsia="Arial" w:hAnsi="Arial" w:cs="Arial"/>
        </w:rPr>
        <w:t xml:space="preserve"> </w:t>
      </w:r>
      <w:r w:rsidR="00622ADC">
        <w:rPr>
          <w:rFonts w:ascii="Arial" w:eastAsia="Arial" w:hAnsi="Arial" w:cs="Arial"/>
        </w:rPr>
        <w:t>treinta y dos millones quinientos veintiocho mil ciento once con cuarenta y ocho centavos (</w:t>
      </w:r>
      <w:r w:rsidR="003C2A73" w:rsidRPr="00401766">
        <w:rPr>
          <w:rFonts w:ascii="Arial" w:eastAsia="Arial" w:hAnsi="Arial" w:cs="Arial"/>
        </w:rPr>
        <w:t>$32.528.111,48</w:t>
      </w:r>
      <w:r w:rsidR="00622ADC">
        <w:rPr>
          <w:rFonts w:ascii="Arial" w:eastAsia="Arial" w:hAnsi="Arial" w:cs="Arial"/>
        </w:rPr>
        <w:t xml:space="preserve">) </w:t>
      </w:r>
      <w:r w:rsidR="003C2A73" w:rsidRPr="00401766">
        <w:rPr>
          <w:rFonts w:ascii="Arial" w:eastAsia="Arial" w:hAnsi="Arial" w:cs="Arial"/>
        </w:rPr>
        <w:t>y actualizaciones de acuerdo al Índice General de la Cáma</w:t>
      </w:r>
      <w:r w:rsidR="004442CA">
        <w:rPr>
          <w:rFonts w:ascii="Arial" w:eastAsia="Arial" w:hAnsi="Arial" w:cs="Arial"/>
        </w:rPr>
        <w:t>ra Argentina de la Construcción (según</w:t>
      </w:r>
      <w:r w:rsidR="003C2A73" w:rsidRPr="00401766">
        <w:rPr>
          <w:rFonts w:ascii="Arial" w:eastAsia="Arial" w:hAnsi="Arial" w:cs="Arial"/>
        </w:rPr>
        <w:t xml:space="preserve"> ANEXO II)</w:t>
      </w:r>
      <w:r>
        <w:rPr>
          <w:rFonts w:ascii="Arial" w:eastAsia="Arial" w:hAnsi="Arial" w:cs="Arial"/>
        </w:rPr>
        <w:t>.-</w:t>
      </w:r>
    </w:p>
    <w:p w:rsidR="001D52AB" w:rsidRPr="00401766" w:rsidRDefault="001D52AB">
      <w:pPr>
        <w:tabs>
          <w:tab w:val="left" w:pos="2880"/>
        </w:tabs>
        <w:jc w:val="both"/>
        <w:rPr>
          <w:rFonts w:ascii="Arial" w:eastAsia="Arial" w:hAnsi="Arial" w:cs="Arial"/>
        </w:rPr>
      </w:pPr>
    </w:p>
    <w:p w:rsidR="003C4959" w:rsidRDefault="001D52AB">
      <w:pPr>
        <w:tabs>
          <w:tab w:val="left" w:pos="2880"/>
        </w:tabs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ARTÍCULO 3°: SE AUTORIZA</w:t>
      </w:r>
      <w:r w:rsidR="003C2A73" w:rsidRPr="00401766">
        <w:rPr>
          <w:rFonts w:ascii="Arial" w:eastAsia="Arial" w:hAnsi="Arial" w:cs="Arial"/>
          <w:b/>
        </w:rPr>
        <w:t xml:space="preserve"> </w:t>
      </w:r>
      <w:r w:rsidR="003C2A73" w:rsidRPr="00401766">
        <w:rPr>
          <w:rFonts w:ascii="Arial" w:eastAsia="Arial" w:hAnsi="Arial" w:cs="Arial"/>
        </w:rPr>
        <w:t>el sistema de contribución por mejoras según Orde</w:t>
      </w:r>
      <w:r w:rsidR="00934BF3">
        <w:rPr>
          <w:rFonts w:ascii="Arial" w:eastAsia="Arial" w:hAnsi="Arial" w:cs="Arial"/>
        </w:rPr>
        <w:t>nanza vigente N° 180/84,  a la Obra de Extensión de la Red Gas N</w:t>
      </w:r>
      <w:r w:rsidR="003C2A73" w:rsidRPr="00401766">
        <w:rPr>
          <w:rFonts w:ascii="Arial" w:eastAsia="Arial" w:hAnsi="Arial" w:cs="Arial"/>
        </w:rPr>
        <w:t>atural en la “Manzana K”.</w:t>
      </w:r>
      <w:r w:rsidR="00934BF3">
        <w:rPr>
          <w:rFonts w:ascii="Arial" w:eastAsia="Arial" w:hAnsi="Arial" w:cs="Arial"/>
        </w:rPr>
        <w:t>-</w:t>
      </w:r>
    </w:p>
    <w:p w:rsidR="00934BF3" w:rsidRPr="00401766" w:rsidRDefault="00934BF3">
      <w:pPr>
        <w:tabs>
          <w:tab w:val="left" w:pos="2880"/>
        </w:tabs>
        <w:jc w:val="both"/>
        <w:rPr>
          <w:rFonts w:ascii="Arial" w:eastAsia="Arial" w:hAnsi="Arial" w:cs="Arial"/>
        </w:rPr>
      </w:pPr>
    </w:p>
    <w:p w:rsidR="003C4959" w:rsidRDefault="001D52AB">
      <w:pPr>
        <w:tabs>
          <w:tab w:val="left" w:pos="2880"/>
        </w:tabs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b/>
          <w:highlight w:val="white"/>
        </w:rPr>
        <w:t>ARTÍCULO 4º: SE AUTORIZA</w:t>
      </w:r>
      <w:r w:rsidR="003C2A73" w:rsidRPr="00401766">
        <w:rPr>
          <w:rFonts w:ascii="Arial" w:eastAsia="Arial" w:hAnsi="Arial" w:cs="Arial"/>
          <w:b/>
          <w:highlight w:val="white"/>
        </w:rPr>
        <w:t xml:space="preserve"> </w:t>
      </w:r>
      <w:r w:rsidR="003C2A73" w:rsidRPr="00401766">
        <w:rPr>
          <w:rFonts w:ascii="Arial" w:eastAsia="Arial" w:hAnsi="Arial" w:cs="Arial"/>
          <w:highlight w:val="white"/>
        </w:rPr>
        <w:t>el gasto a la Entidad: Secretaria de Viviendas e Infraestructura, Programa: Conducción y Coord. Vivienda e Infraestructura, Partida 4210 “Construcciones en dominio privado</w:t>
      </w:r>
      <w:r w:rsidR="008142D1">
        <w:rPr>
          <w:rFonts w:ascii="Arial" w:eastAsia="Arial" w:hAnsi="Arial" w:cs="Arial"/>
          <w:highlight w:val="white"/>
        </w:rPr>
        <w:t>” (</w:t>
      </w:r>
      <w:r w:rsidR="003C2A73" w:rsidRPr="00401766">
        <w:rPr>
          <w:rFonts w:ascii="Arial" w:eastAsia="Arial" w:hAnsi="Arial" w:cs="Arial"/>
          <w:highlight w:val="white"/>
        </w:rPr>
        <w:t>Según ANEXO III)</w:t>
      </w:r>
      <w:r w:rsidR="008142D1">
        <w:rPr>
          <w:rFonts w:ascii="Arial" w:eastAsia="Arial" w:hAnsi="Arial" w:cs="Arial"/>
          <w:highlight w:val="white"/>
        </w:rPr>
        <w:t>.-</w:t>
      </w:r>
    </w:p>
    <w:p w:rsidR="008142D1" w:rsidRPr="00401766" w:rsidRDefault="008142D1">
      <w:pPr>
        <w:tabs>
          <w:tab w:val="left" w:pos="2880"/>
        </w:tabs>
        <w:jc w:val="both"/>
        <w:rPr>
          <w:rFonts w:ascii="Arial" w:eastAsia="Arial" w:hAnsi="Arial" w:cs="Arial"/>
          <w:highlight w:val="white"/>
        </w:rPr>
      </w:pPr>
    </w:p>
    <w:p w:rsidR="003C4959" w:rsidRPr="00401766" w:rsidRDefault="001D52AB">
      <w:pPr>
        <w:tabs>
          <w:tab w:val="left" w:pos="2880"/>
        </w:tabs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b/>
          <w:highlight w:val="white"/>
        </w:rPr>
        <w:t>ARTÍCULO 5º: SE DECLARA</w:t>
      </w:r>
      <w:r w:rsidR="003C2A73" w:rsidRPr="00401766">
        <w:rPr>
          <w:rFonts w:ascii="Arial" w:eastAsia="Arial" w:hAnsi="Arial" w:cs="Arial"/>
          <w:b/>
          <w:highlight w:val="white"/>
        </w:rPr>
        <w:t xml:space="preserve"> </w:t>
      </w:r>
      <w:r w:rsidR="003C2A73" w:rsidRPr="00401766">
        <w:rPr>
          <w:rFonts w:ascii="Arial" w:eastAsia="Arial" w:hAnsi="Arial" w:cs="Arial"/>
          <w:highlight w:val="white"/>
        </w:rPr>
        <w:t>de pago obligatorio el costo de la obra de extensión de red de gas natural que se establece por la siguiente Ordenanza a título de Contribución por Mejoras en función a la normativa prevista en la Ordenanza 180/84 y ejecutar el correspondiente llamado al Registro de Oposición</w:t>
      </w:r>
      <w:r w:rsidR="003C2A73" w:rsidRPr="00401766">
        <w:rPr>
          <w:rFonts w:ascii="Arial" w:eastAsia="Arial" w:hAnsi="Arial" w:cs="Arial"/>
          <w:color w:val="CC0000"/>
          <w:highlight w:val="white"/>
        </w:rPr>
        <w:t>.</w:t>
      </w:r>
      <w:r w:rsidR="008142D1">
        <w:rPr>
          <w:rFonts w:ascii="Arial" w:eastAsia="Arial" w:hAnsi="Arial" w:cs="Arial"/>
          <w:color w:val="CC0000"/>
          <w:highlight w:val="white"/>
        </w:rPr>
        <w:t>-</w:t>
      </w:r>
    </w:p>
    <w:p w:rsidR="00401766" w:rsidRDefault="00401766">
      <w:pPr>
        <w:tabs>
          <w:tab w:val="left" w:pos="2880"/>
        </w:tabs>
        <w:jc w:val="both"/>
        <w:rPr>
          <w:rFonts w:ascii="Arial" w:eastAsia="Arial" w:hAnsi="Arial" w:cs="Arial"/>
          <w:b/>
          <w:highlight w:val="white"/>
        </w:rPr>
      </w:pPr>
    </w:p>
    <w:p w:rsidR="003C4959" w:rsidRPr="00401766" w:rsidRDefault="001D52AB">
      <w:pPr>
        <w:tabs>
          <w:tab w:val="left" w:pos="2880"/>
        </w:tabs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b/>
          <w:highlight w:val="white"/>
        </w:rPr>
        <w:t>ARTÍCULO 6º: SE APLICA</w:t>
      </w:r>
      <w:r w:rsidR="003C2A73" w:rsidRPr="00401766">
        <w:rPr>
          <w:rFonts w:ascii="Arial" w:eastAsia="Arial" w:hAnsi="Arial" w:cs="Arial"/>
          <w:b/>
          <w:highlight w:val="white"/>
        </w:rPr>
        <w:t xml:space="preserve"> </w:t>
      </w:r>
      <w:r w:rsidR="003C2A73" w:rsidRPr="00401766">
        <w:rPr>
          <w:rFonts w:ascii="Arial" w:eastAsia="Arial" w:hAnsi="Arial" w:cs="Arial"/>
          <w:highlight w:val="white"/>
        </w:rPr>
        <w:t>para el cálculo de la deuda de cada frentista el sistema de liquidación previsto en el inciso 2.1.1.4.</w:t>
      </w:r>
      <w:r w:rsidR="003C2A73" w:rsidRPr="00401766">
        <w:rPr>
          <w:rFonts w:ascii="Arial" w:eastAsia="Arial" w:hAnsi="Arial" w:cs="Arial"/>
          <w:i/>
          <w:highlight w:val="white"/>
          <w:u w:val="single"/>
        </w:rPr>
        <w:t xml:space="preserve"> Base-Metros lineales de frente y superficie</w:t>
      </w:r>
      <w:r w:rsidR="003C2A73" w:rsidRPr="00401766">
        <w:rPr>
          <w:rFonts w:ascii="Arial" w:eastAsia="Arial" w:hAnsi="Arial" w:cs="Arial"/>
          <w:highlight w:val="white"/>
        </w:rPr>
        <w:t>. Se utiliza la fórmula descrita en el punto 1.1.4. Ordenanza 180/84 (VER ANEXO IV)</w:t>
      </w:r>
      <w:r w:rsidR="00401766">
        <w:rPr>
          <w:rFonts w:ascii="Arial" w:eastAsia="Arial" w:hAnsi="Arial" w:cs="Arial"/>
          <w:highlight w:val="white"/>
        </w:rPr>
        <w:t>.-</w:t>
      </w:r>
    </w:p>
    <w:p w:rsidR="003C4959" w:rsidRPr="00401766" w:rsidRDefault="003C4959">
      <w:pPr>
        <w:tabs>
          <w:tab w:val="left" w:pos="2880"/>
        </w:tabs>
        <w:jc w:val="both"/>
        <w:rPr>
          <w:rFonts w:ascii="Arial" w:eastAsia="Arial" w:hAnsi="Arial" w:cs="Arial"/>
          <w:highlight w:val="white"/>
        </w:rPr>
      </w:pPr>
    </w:p>
    <w:p w:rsidR="003C4959" w:rsidRPr="00401766" w:rsidRDefault="003C2A73">
      <w:pPr>
        <w:tabs>
          <w:tab w:val="left" w:pos="2880"/>
        </w:tabs>
        <w:jc w:val="both"/>
        <w:rPr>
          <w:rFonts w:ascii="Arial" w:eastAsia="Arial" w:hAnsi="Arial" w:cs="Arial"/>
        </w:rPr>
      </w:pPr>
      <w:r w:rsidRPr="00401766">
        <w:rPr>
          <w:rFonts w:ascii="Arial" w:eastAsia="Arial" w:hAnsi="Arial" w:cs="Arial"/>
          <w:b/>
        </w:rPr>
        <w:t>ARTÍCULO 7°:</w:t>
      </w:r>
      <w:r w:rsidRPr="00401766">
        <w:rPr>
          <w:rFonts w:ascii="Arial" w:eastAsia="Arial" w:hAnsi="Arial" w:cs="Arial"/>
        </w:rPr>
        <w:t xml:space="preserve"> </w:t>
      </w:r>
      <w:r w:rsidRPr="00401766">
        <w:rPr>
          <w:rFonts w:ascii="Arial" w:eastAsia="Arial" w:hAnsi="Arial" w:cs="Arial"/>
          <w:b/>
        </w:rPr>
        <w:t>PASE</w:t>
      </w:r>
      <w:r w:rsidRPr="00401766">
        <w:rPr>
          <w:rFonts w:ascii="Arial" w:eastAsia="Arial" w:hAnsi="Arial" w:cs="Arial"/>
        </w:rPr>
        <w:t xml:space="preserve"> al Departamento Ejecutivo Municipal para su promulgación. Regístrese. Cumplido.</w:t>
      </w:r>
      <w:r w:rsidR="00401766">
        <w:rPr>
          <w:rFonts w:ascii="Arial" w:eastAsia="Arial" w:hAnsi="Arial" w:cs="Arial"/>
        </w:rPr>
        <w:t xml:space="preserve"> </w:t>
      </w:r>
      <w:r w:rsidRPr="00401766">
        <w:rPr>
          <w:rFonts w:ascii="Arial" w:eastAsia="Arial" w:hAnsi="Arial" w:cs="Arial"/>
        </w:rPr>
        <w:t>Publíquese. Archívese.</w:t>
      </w:r>
      <w:r w:rsidR="00401766">
        <w:rPr>
          <w:rFonts w:ascii="Arial" w:eastAsia="Arial" w:hAnsi="Arial" w:cs="Arial"/>
        </w:rPr>
        <w:t>-</w:t>
      </w:r>
    </w:p>
    <w:p w:rsidR="003C4959" w:rsidRPr="00401766" w:rsidRDefault="003C4959">
      <w:pPr>
        <w:tabs>
          <w:tab w:val="left" w:pos="2760"/>
        </w:tabs>
        <w:jc w:val="both"/>
        <w:rPr>
          <w:rFonts w:ascii="Arial" w:eastAsia="Arial" w:hAnsi="Arial" w:cs="Arial"/>
        </w:rPr>
      </w:pPr>
    </w:p>
    <w:p w:rsidR="003C4959" w:rsidRPr="00401766" w:rsidRDefault="003C4959">
      <w:pPr>
        <w:jc w:val="both"/>
        <w:rPr>
          <w:color w:val="000000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2519DD" w:rsidRPr="00ED1598" w:rsidRDefault="002519DD" w:rsidP="002519DD">
      <w:pPr>
        <w:pStyle w:val="normal1"/>
        <w:spacing w:after="240"/>
        <w:jc w:val="center"/>
        <w:rPr>
          <w:rFonts w:ascii="Arial" w:eastAsia="Arial" w:hAnsi="Arial" w:cs="Arial"/>
          <w:color w:val="0000FF"/>
        </w:rPr>
      </w:pPr>
      <w:r w:rsidRPr="00ED1598">
        <w:rPr>
          <w:rFonts w:ascii="Arial" w:eastAsia="Arial" w:hAnsi="Arial" w:cs="Arial"/>
        </w:rPr>
        <w:t>Dada en la Sala de Sesiones Don Humberto Rolando del Concejo Deliberante, a los diez días del mes de Julio del año 2024, en Sesión Ordinaria N° IX, Acta N° 1902.-</w:t>
      </w:r>
    </w:p>
    <w:p w:rsidR="002519DD" w:rsidRPr="00ED1598" w:rsidRDefault="002519DD" w:rsidP="002519DD">
      <w:pPr>
        <w:pStyle w:val="normal1"/>
        <w:tabs>
          <w:tab w:val="left" w:pos="2880"/>
        </w:tabs>
        <w:jc w:val="both"/>
        <w:rPr>
          <w:rFonts w:ascii="Arial" w:eastAsia="Arial" w:hAnsi="Arial" w:cs="Arial"/>
        </w:rPr>
      </w:pPr>
      <w:bookmarkStart w:id="0" w:name="_heading=h.gjdgxs" w:colFirst="0" w:colLast="0"/>
      <w:bookmarkEnd w:id="0"/>
    </w:p>
    <w:p w:rsidR="002519DD" w:rsidRPr="00BA6CED" w:rsidRDefault="002519DD" w:rsidP="002519DD">
      <w:pPr>
        <w:ind w:hanging="2"/>
        <w:jc w:val="both"/>
        <w:rPr>
          <w:rFonts w:ascii="Arial" w:hAnsi="Arial" w:cs="Arial"/>
          <w:lang w:val="es-ES_tradnl"/>
        </w:rPr>
      </w:pPr>
      <w:r w:rsidRPr="00BA6CED">
        <w:rPr>
          <w:rFonts w:ascii="Arial" w:hAnsi="Arial" w:cs="Arial"/>
          <w:lang w:val="es-ES_tradnl"/>
        </w:rPr>
        <w:t xml:space="preserve">Fdo. Sebastián </w:t>
      </w:r>
      <w:proofErr w:type="spellStart"/>
      <w:r w:rsidRPr="00BA6CED">
        <w:rPr>
          <w:rFonts w:ascii="Arial" w:hAnsi="Arial" w:cs="Arial"/>
          <w:lang w:val="es-ES_tradnl"/>
        </w:rPr>
        <w:t>Raimondo</w:t>
      </w:r>
      <w:proofErr w:type="spellEnd"/>
      <w:r w:rsidRPr="00BA6CED">
        <w:rPr>
          <w:rFonts w:ascii="Arial" w:hAnsi="Arial" w:cs="Arial"/>
          <w:lang w:val="es-ES_tradnl"/>
        </w:rPr>
        <w:t xml:space="preserve"> (Presidente CD)</w:t>
      </w:r>
    </w:p>
    <w:p w:rsidR="002519DD" w:rsidRPr="00BA6CED" w:rsidRDefault="002519DD" w:rsidP="002519DD">
      <w:pPr>
        <w:rPr>
          <w:rFonts w:ascii="Arial" w:hAnsi="Arial" w:cs="Arial"/>
        </w:rPr>
      </w:pPr>
      <w:r w:rsidRPr="00BA6CED">
        <w:rPr>
          <w:rFonts w:ascii="Arial" w:hAnsi="Arial" w:cs="Arial"/>
          <w:lang w:val="es-ES_tradnl"/>
        </w:rPr>
        <w:t>Jimena de los Ángeles Montero (Secretaria CD)</w:t>
      </w: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Pr="003C2A73" w:rsidRDefault="003C2A73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3C2A73">
        <w:rPr>
          <w:rFonts w:ascii="Arial" w:eastAsia="Arial" w:hAnsi="Arial" w:cs="Arial"/>
          <w:b/>
          <w:sz w:val="22"/>
          <w:szCs w:val="22"/>
          <w:u w:val="single"/>
        </w:rPr>
        <w:t>ANEXO I</w:t>
      </w:r>
    </w:p>
    <w:p w:rsidR="003C4959" w:rsidRDefault="003C2A73">
      <w:pPr>
        <w:jc w:val="center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  <w:u w:val="single"/>
        </w:rPr>
        <w:t>UBICACIÓN DE LA OBRA</w:t>
      </w: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2A73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>
            <wp:extent cx="6511925" cy="7099300"/>
            <wp:effectExtent l="25400" t="25400" r="25400" b="2540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7099300"/>
                    </a:xfrm>
                    <a:prstGeom prst="rect">
                      <a:avLst/>
                    </a:prstGeom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center"/>
        <w:rPr>
          <w:rFonts w:ascii="Arial" w:eastAsia="Arial" w:hAnsi="Arial" w:cs="Arial"/>
          <w:sz w:val="22"/>
          <w:szCs w:val="22"/>
          <w:u w:val="single"/>
        </w:rPr>
      </w:pPr>
    </w:p>
    <w:p w:rsidR="003C4959" w:rsidRPr="003C2A73" w:rsidRDefault="003C2A73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3C2A73">
        <w:rPr>
          <w:rFonts w:ascii="Arial" w:eastAsia="Arial" w:hAnsi="Arial" w:cs="Arial"/>
          <w:b/>
          <w:sz w:val="22"/>
          <w:szCs w:val="22"/>
          <w:u w:val="single"/>
        </w:rPr>
        <w:t xml:space="preserve">ANEXO II </w:t>
      </w:r>
    </w:p>
    <w:p w:rsidR="003C4959" w:rsidRDefault="003C2A73">
      <w:pPr>
        <w:jc w:val="center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  <w:u w:val="single"/>
        </w:rPr>
        <w:t>PRESUPUESTO</w:t>
      </w: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2A73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>
            <wp:extent cx="6515100" cy="8248094"/>
            <wp:effectExtent l="0" t="0" r="0" b="0"/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2480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2A73" w:rsidRDefault="003C2A73">
      <w:pPr>
        <w:jc w:val="both"/>
        <w:rPr>
          <w:rFonts w:ascii="Arial" w:eastAsia="Arial" w:hAnsi="Arial" w:cs="Arial"/>
          <w:sz w:val="22"/>
          <w:szCs w:val="22"/>
        </w:rPr>
      </w:pPr>
    </w:p>
    <w:p w:rsidR="003C2A73" w:rsidRDefault="003C2A73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Pr="003C2A73" w:rsidRDefault="003C2A73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3C2A73">
        <w:rPr>
          <w:rFonts w:ascii="Arial" w:eastAsia="Arial" w:hAnsi="Arial" w:cs="Arial"/>
          <w:b/>
          <w:sz w:val="22"/>
          <w:szCs w:val="22"/>
          <w:u w:val="single"/>
        </w:rPr>
        <w:t xml:space="preserve">ANEXO III </w:t>
      </w:r>
    </w:p>
    <w:p w:rsidR="003C4959" w:rsidRDefault="003C2A73">
      <w:pPr>
        <w:jc w:val="center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  <w:u w:val="single"/>
        </w:rPr>
        <w:t>PARTIDA</w:t>
      </w:r>
    </w:p>
    <w:p w:rsidR="003C4959" w:rsidRDefault="003C2A73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>
            <wp:extent cx="6511925" cy="8915400"/>
            <wp:effectExtent l="0" t="0" r="0" b="0"/>
            <wp:docPr id="7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891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Default="003C4959">
      <w:pPr>
        <w:jc w:val="both"/>
        <w:rPr>
          <w:rFonts w:ascii="Arial" w:eastAsia="Arial" w:hAnsi="Arial" w:cs="Arial"/>
          <w:sz w:val="22"/>
          <w:szCs w:val="22"/>
        </w:rPr>
      </w:pPr>
    </w:p>
    <w:p w:rsidR="003C4959" w:rsidRPr="003C2A73" w:rsidRDefault="003C2A73">
      <w:pPr>
        <w:jc w:val="center"/>
        <w:rPr>
          <w:rFonts w:ascii="Arial" w:eastAsia="Arial" w:hAnsi="Arial" w:cs="Arial"/>
          <w:b/>
          <w:sz w:val="22"/>
          <w:szCs w:val="22"/>
          <w:u w:val="single"/>
        </w:rPr>
      </w:pPr>
      <w:r w:rsidRPr="003C2A73">
        <w:rPr>
          <w:rFonts w:ascii="Arial" w:eastAsia="Arial" w:hAnsi="Arial" w:cs="Arial"/>
          <w:b/>
          <w:sz w:val="22"/>
          <w:szCs w:val="22"/>
          <w:u w:val="single"/>
        </w:rPr>
        <w:t xml:space="preserve">ANEXO IV </w:t>
      </w:r>
    </w:p>
    <w:p w:rsidR="003C4959" w:rsidRDefault="003C2A73">
      <w:pPr>
        <w:jc w:val="center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sz w:val="22"/>
          <w:szCs w:val="22"/>
          <w:u w:val="single"/>
        </w:rPr>
        <w:t>FÓRMULA</w:t>
      </w:r>
    </w:p>
    <w:p w:rsidR="003C4959" w:rsidRDefault="003C4959">
      <w:pPr>
        <w:jc w:val="center"/>
        <w:rPr>
          <w:rFonts w:ascii="Arial" w:eastAsia="Arial" w:hAnsi="Arial" w:cs="Arial"/>
          <w:sz w:val="22"/>
          <w:szCs w:val="22"/>
          <w:u w:val="single"/>
        </w:rPr>
      </w:pPr>
    </w:p>
    <w:p w:rsidR="003C4959" w:rsidRDefault="003C4959">
      <w:pPr>
        <w:jc w:val="center"/>
        <w:rPr>
          <w:rFonts w:ascii="Arial" w:eastAsia="Arial" w:hAnsi="Arial" w:cs="Arial"/>
          <w:sz w:val="22"/>
          <w:szCs w:val="22"/>
          <w:u w:val="single"/>
        </w:rPr>
      </w:pPr>
    </w:p>
    <w:p w:rsidR="003C4959" w:rsidRDefault="003C2A73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>
            <wp:extent cx="6511925" cy="3124200"/>
            <wp:effectExtent l="0" t="0" r="0" b="0"/>
            <wp:docPr id="1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312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23DF1" w:rsidRDefault="00C23DF1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br w:type="page"/>
      </w:r>
    </w:p>
    <w:p w:rsidR="00C23DF1" w:rsidRPr="00C230D0" w:rsidRDefault="00C23DF1" w:rsidP="00C23DF1">
      <w:pPr>
        <w:jc w:val="center"/>
        <w:rPr>
          <w:rFonts w:ascii="Arial" w:hAnsi="Arial" w:cs="Arial"/>
          <w:b/>
          <w:u w:val="single"/>
        </w:rPr>
      </w:pPr>
      <w:r w:rsidRPr="00C230D0">
        <w:rPr>
          <w:rFonts w:ascii="Arial" w:hAnsi="Arial" w:cs="Arial"/>
          <w:b/>
          <w:u w:val="single"/>
        </w:rPr>
        <w:lastRenderedPageBreak/>
        <w:t>CO</w:t>
      </w:r>
      <w:r>
        <w:rPr>
          <w:rFonts w:ascii="Arial" w:hAnsi="Arial" w:cs="Arial"/>
          <w:b/>
          <w:u w:val="single"/>
        </w:rPr>
        <w:t>MUNICADO A LA SOCIEDAD</w:t>
      </w:r>
    </w:p>
    <w:p w:rsidR="00C23DF1" w:rsidRPr="00C230D0" w:rsidRDefault="00C23DF1" w:rsidP="00C23DF1">
      <w:pPr>
        <w:jc w:val="center"/>
        <w:rPr>
          <w:rFonts w:ascii="Arial" w:hAnsi="Arial" w:cs="Arial"/>
          <w:b/>
        </w:rPr>
      </w:pPr>
      <w:r w:rsidRPr="00C230D0">
        <w:rPr>
          <w:rFonts w:ascii="Arial" w:hAnsi="Arial" w:cs="Arial"/>
          <w:b/>
        </w:rPr>
        <w:t>RESOLUCIÓN DE DOBLE LECTURA</w:t>
      </w:r>
      <w:r>
        <w:rPr>
          <w:rFonts w:ascii="Arial" w:hAnsi="Arial" w:cs="Arial"/>
          <w:b/>
        </w:rPr>
        <w:t xml:space="preserve"> N°03/2024</w:t>
      </w:r>
    </w:p>
    <w:p w:rsidR="00C23DF1" w:rsidRPr="00C230D0" w:rsidRDefault="00C23DF1" w:rsidP="00C23DF1">
      <w:pPr>
        <w:jc w:val="both"/>
        <w:rPr>
          <w:rFonts w:ascii="Arial" w:hAnsi="Arial" w:cs="Arial"/>
        </w:rPr>
      </w:pPr>
    </w:p>
    <w:p w:rsidR="00C23DF1" w:rsidRPr="00C230D0" w:rsidRDefault="00C23DF1" w:rsidP="00C23DF1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El Concejo Deliberante de Villa </w:t>
      </w:r>
      <w:r>
        <w:rPr>
          <w:rFonts w:ascii="Arial" w:hAnsi="Arial" w:cs="Arial"/>
        </w:rPr>
        <w:t>L</w:t>
      </w:r>
      <w:r w:rsidRPr="00C230D0">
        <w:rPr>
          <w:rFonts w:ascii="Arial" w:hAnsi="Arial" w:cs="Arial"/>
        </w:rPr>
        <w:t>a Angostura en cumplimiento de los artículos 100 y 101 de la Carta Orgánica Municipal, Ordenanza N°3212/2017, pone en conocimiento</w:t>
      </w:r>
      <w:r>
        <w:rPr>
          <w:rFonts w:ascii="Arial" w:hAnsi="Arial" w:cs="Arial"/>
        </w:rPr>
        <w:t xml:space="preserve"> de toda la comunidad de Villa L</w:t>
      </w:r>
      <w:r w:rsidRPr="00C230D0">
        <w:rPr>
          <w:rFonts w:ascii="Arial" w:hAnsi="Arial" w:cs="Arial"/>
        </w:rPr>
        <w:t>a Angostura, el proyecto de</w:t>
      </w:r>
      <w:r>
        <w:rPr>
          <w:rFonts w:ascii="Arial" w:hAnsi="Arial" w:cs="Arial"/>
        </w:rPr>
        <w:t xml:space="preserve"> Resolución de Doble Lectura N° 03/2024</w:t>
      </w:r>
      <w:r w:rsidRPr="00C230D0">
        <w:rPr>
          <w:rFonts w:ascii="Arial" w:hAnsi="Arial" w:cs="Arial"/>
        </w:rPr>
        <w:t>,  a los fines de que registren su oposición y se manifiesten sobre el contenido de la futura ordenanza.-</w:t>
      </w:r>
    </w:p>
    <w:p w:rsidR="00C23DF1" w:rsidRPr="00C230D0" w:rsidRDefault="00C23DF1" w:rsidP="00C23DF1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Para mayor información y consultas comunicarse al Concejo Deliberante, al teléfono 4494-261, de lunes a viernes de </w:t>
      </w:r>
      <w:r>
        <w:rPr>
          <w:rFonts w:ascii="Arial" w:hAnsi="Arial" w:cs="Arial"/>
        </w:rPr>
        <w:t>0</w:t>
      </w:r>
      <w:r w:rsidRPr="00C230D0">
        <w:rPr>
          <w:rFonts w:ascii="Arial" w:hAnsi="Arial" w:cs="Arial"/>
        </w:rPr>
        <w:t>8</w:t>
      </w:r>
      <w:r>
        <w:rPr>
          <w:rFonts w:ascii="Arial" w:hAnsi="Arial" w:cs="Arial"/>
        </w:rPr>
        <w:t>:00 a 14:0</w:t>
      </w:r>
      <w:r w:rsidRPr="00C230D0">
        <w:rPr>
          <w:rFonts w:ascii="Arial" w:hAnsi="Arial" w:cs="Arial"/>
        </w:rPr>
        <w:t>0 hs</w:t>
      </w:r>
      <w:r>
        <w:rPr>
          <w:rFonts w:ascii="Arial" w:hAnsi="Arial" w:cs="Arial"/>
        </w:rPr>
        <w:t xml:space="preserve"> o a la Municipalidad de Villa L</w:t>
      </w:r>
      <w:r w:rsidRPr="00C230D0">
        <w:rPr>
          <w:rFonts w:ascii="Arial" w:hAnsi="Arial" w:cs="Arial"/>
        </w:rPr>
        <w:t>a Angostura, al teléfono 4494-155/158.-</w:t>
      </w:r>
    </w:p>
    <w:p w:rsidR="003C4959" w:rsidRDefault="003C4959">
      <w:pPr>
        <w:jc w:val="center"/>
        <w:rPr>
          <w:rFonts w:ascii="Arial" w:eastAsia="Arial" w:hAnsi="Arial" w:cs="Arial"/>
          <w:sz w:val="22"/>
          <w:szCs w:val="22"/>
        </w:rPr>
      </w:pPr>
    </w:p>
    <w:sectPr w:rsidR="003C4959" w:rsidSect="003C4959">
      <w:headerReference w:type="even" r:id="rId11"/>
      <w:headerReference w:type="default" r:id="rId12"/>
      <w:pgSz w:w="12242" w:h="20163"/>
      <w:pgMar w:top="1418" w:right="851" w:bottom="851" w:left="1134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959" w:rsidRDefault="003C4959" w:rsidP="003C4959">
      <w:r>
        <w:separator/>
      </w:r>
    </w:p>
  </w:endnote>
  <w:endnote w:type="continuationSeparator" w:id="1">
    <w:p w:rsidR="003C4959" w:rsidRDefault="003C4959" w:rsidP="003C49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Goudy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959" w:rsidRDefault="003C4959" w:rsidP="003C4959">
      <w:r>
        <w:separator/>
      </w:r>
    </w:p>
  </w:footnote>
  <w:footnote w:type="continuationSeparator" w:id="1">
    <w:p w:rsidR="003C4959" w:rsidRDefault="003C4959" w:rsidP="003C49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959" w:rsidRDefault="003C2A7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noProof/>
        <w:color w:val="000000"/>
        <w:sz w:val="18"/>
        <w:szCs w:val="18"/>
      </w:rPr>
      <w:drawing>
        <wp:inline distT="0" distB="0" distL="0" distR="0">
          <wp:extent cx="2162175" cy="1419225"/>
          <wp:effectExtent l="0" t="0" r="0" b="0"/>
          <wp:docPr id="8" name="image1.jpg" descr="logo_municipalidad_20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_municipalidad_201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959" w:rsidRDefault="003C495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7130"/>
      </w:tabs>
      <w:ind w:left="851"/>
      <w:jc w:val="center"/>
      <w:rPr>
        <w:rFonts w:ascii="Book Antiqua" w:eastAsia="Book Antiqua" w:hAnsi="Book Antiqua" w:cs="Book Antiqua"/>
        <w:i/>
        <w:color w:val="000000"/>
        <w:sz w:val="20"/>
        <w:szCs w:val="20"/>
      </w:rPr>
    </w:pPr>
  </w:p>
  <w:p w:rsidR="00953429" w:rsidRPr="00EB160D" w:rsidRDefault="00953429" w:rsidP="00953429">
    <w:pPr>
      <w:pStyle w:val="Encabezado"/>
      <w:pBdr>
        <w:bottom w:val="single" w:sz="4" w:space="1" w:color="auto"/>
      </w:pBdr>
      <w:tabs>
        <w:tab w:val="left" w:pos="225"/>
        <w:tab w:val="left" w:pos="8838"/>
      </w:tabs>
      <w:jc w:val="center"/>
      <w:rPr>
        <w:b/>
        <w:bCs/>
        <w:sz w:val="20"/>
        <w:szCs w:val="20"/>
      </w:rPr>
    </w:pPr>
    <w:r>
      <w:rPr>
        <w:b/>
        <w:bCs/>
        <w:noProof/>
        <w:sz w:val="20"/>
        <w:szCs w:val="20"/>
      </w:rPr>
      <w:drawing>
        <wp:inline distT="0" distB="0" distL="0" distR="0">
          <wp:extent cx="1266825" cy="942975"/>
          <wp:effectExtent l="19050" t="0" r="9525" b="0"/>
          <wp:docPr id="2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C4959" w:rsidRDefault="003C4959" w:rsidP="00953429">
    <w:pPr>
      <w:tabs>
        <w:tab w:val="center" w:pos="4419"/>
        <w:tab w:val="right" w:pos="8838"/>
        <w:tab w:val="left" w:pos="7130"/>
      </w:tabs>
      <w:ind w:left="851"/>
      <w:jc w:val="center"/>
      <w:rPr>
        <w:rFonts w:ascii="Book Antiqua" w:eastAsia="Book Antiqua" w:hAnsi="Book Antiqua" w:cs="Book Antiqua"/>
        <w:i/>
        <w:color w:val="000000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4959"/>
    <w:rsid w:val="000D2764"/>
    <w:rsid w:val="001D52AB"/>
    <w:rsid w:val="002519DD"/>
    <w:rsid w:val="00295935"/>
    <w:rsid w:val="00340FC4"/>
    <w:rsid w:val="003C2A73"/>
    <w:rsid w:val="003C4959"/>
    <w:rsid w:val="003D3A2D"/>
    <w:rsid w:val="00401766"/>
    <w:rsid w:val="00425C53"/>
    <w:rsid w:val="004442CA"/>
    <w:rsid w:val="004D2709"/>
    <w:rsid w:val="00622ADC"/>
    <w:rsid w:val="006C6930"/>
    <w:rsid w:val="00717139"/>
    <w:rsid w:val="008142D1"/>
    <w:rsid w:val="00853ABC"/>
    <w:rsid w:val="00934BF3"/>
    <w:rsid w:val="00953429"/>
    <w:rsid w:val="00980D53"/>
    <w:rsid w:val="009853E7"/>
    <w:rsid w:val="009F74E4"/>
    <w:rsid w:val="00AF496D"/>
    <w:rsid w:val="00C23DF1"/>
    <w:rsid w:val="00D5624E"/>
    <w:rsid w:val="00DC15B0"/>
    <w:rsid w:val="00DF6E33"/>
    <w:rsid w:val="00E27135"/>
    <w:rsid w:val="00FA2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man Old Style" w:eastAsia="Bookman Old Style" w:hAnsi="Bookman Old Style" w:cs="Bookman Old Style"/>
        <w:sz w:val="24"/>
        <w:szCs w:val="24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3D4"/>
  </w:style>
  <w:style w:type="paragraph" w:styleId="Ttulo1">
    <w:name w:val="heading 1"/>
    <w:basedOn w:val="Normal"/>
    <w:next w:val="Normal"/>
    <w:link w:val="Ttulo1Car"/>
    <w:qFormat/>
    <w:rsid w:val="00EC03D4"/>
    <w:pPr>
      <w:keepNext/>
      <w:jc w:val="both"/>
      <w:outlineLvl w:val="0"/>
    </w:pPr>
    <w:rPr>
      <w:rFonts w:ascii="Arial Narrow" w:hAnsi="Arial Narrow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EC03D4"/>
    <w:pPr>
      <w:keepNext/>
      <w:jc w:val="center"/>
      <w:outlineLvl w:val="1"/>
    </w:pPr>
    <w:rPr>
      <w:rFonts w:ascii="Tahoma" w:hAnsi="Tahoma"/>
      <w:b/>
      <w:bCs/>
    </w:rPr>
  </w:style>
  <w:style w:type="paragraph" w:styleId="Ttulo3">
    <w:name w:val="heading 3"/>
    <w:basedOn w:val="Normal"/>
    <w:next w:val="Normal"/>
    <w:link w:val="Ttulo3Car"/>
    <w:qFormat/>
    <w:rsid w:val="00EC03D4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link w:val="Ttulo4Car"/>
    <w:uiPriority w:val="99"/>
    <w:qFormat/>
    <w:rsid w:val="00EC03D4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EC03D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EC03D4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EC03D4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EC03D4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EC03D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3C4959"/>
  </w:style>
  <w:style w:type="table" w:customStyle="1" w:styleId="TableNormal">
    <w:name w:val="Table Normal"/>
    <w:rsid w:val="003C495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qFormat/>
    <w:rsid w:val="00EC03D4"/>
    <w:pPr>
      <w:jc w:val="center"/>
    </w:pPr>
    <w:rPr>
      <w:b/>
      <w:bCs/>
      <w:sz w:val="28"/>
      <w:lang w:val="es-ES_tradnl"/>
    </w:rPr>
  </w:style>
  <w:style w:type="paragraph" w:customStyle="1" w:styleId="normal1">
    <w:name w:val="normal"/>
    <w:rsid w:val="003C4959"/>
  </w:style>
  <w:style w:type="table" w:customStyle="1" w:styleId="TableNormal0">
    <w:name w:val="Table Normal"/>
    <w:rsid w:val="003C495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rsid w:val="00EC03D4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EC03D4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EC03D4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EC03D4"/>
    <w:pPr>
      <w:jc w:val="both"/>
    </w:pPr>
    <w:rPr>
      <w:rFonts w:ascii="Arial Narrow" w:hAnsi="Arial Narrow"/>
      <w:lang w:val="es-ES_tradnl"/>
    </w:rPr>
  </w:style>
  <w:style w:type="paragraph" w:styleId="NormalWeb">
    <w:name w:val="Normal (Web)"/>
    <w:basedOn w:val="Normal"/>
    <w:rsid w:val="00EC03D4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rsid w:val="00EC03D4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EC03D4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rsid w:val="00EC03D4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uiPriority w:val="99"/>
    <w:rsid w:val="00EC03D4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EC03D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Sangra2detindependiente">
    <w:name w:val="Body Text Indent 2"/>
    <w:basedOn w:val="Normal"/>
    <w:link w:val="Sangra2detindependienteCar"/>
    <w:rsid w:val="00EC03D4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EC03D4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EC03D4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EC03D4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Epgrafe">
    <w:name w:val="caption"/>
    <w:basedOn w:val="Normal"/>
    <w:next w:val="Normal"/>
    <w:qFormat/>
    <w:rsid w:val="00EC03D4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EC03D4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EC03D4"/>
    <w:rPr>
      <w:color w:val="0000FF"/>
      <w:u w:val="single"/>
    </w:rPr>
  </w:style>
  <w:style w:type="character" w:styleId="Nmerodepgina">
    <w:name w:val="page number"/>
    <w:basedOn w:val="Fuentedeprrafopredeter"/>
    <w:rsid w:val="00EC03D4"/>
  </w:style>
  <w:style w:type="paragraph" w:styleId="TDC4">
    <w:name w:val="toc 4"/>
    <w:basedOn w:val="Normal"/>
    <w:next w:val="Normal"/>
    <w:autoRedefine/>
    <w:semiHidden/>
    <w:rsid w:val="00EC03D4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EC03D4"/>
    <w:pPr>
      <w:widowControl w:val="0"/>
      <w:autoSpaceDE w:val="0"/>
      <w:autoSpaceDN w:val="0"/>
      <w:adjustRightInd w:val="0"/>
    </w:pPr>
  </w:style>
  <w:style w:type="character" w:customStyle="1" w:styleId="yshortcuts">
    <w:name w:val="yshortcuts"/>
    <w:basedOn w:val="Fuentedeprrafopredeter"/>
    <w:rsid w:val="00EC03D4"/>
  </w:style>
  <w:style w:type="paragraph" w:customStyle="1" w:styleId="yiv886865484msonormal">
    <w:name w:val="yiv886865484msonormal"/>
    <w:basedOn w:val="Normal"/>
    <w:rsid w:val="00EC03D4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EC03D4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EC03D4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EC03D4"/>
    <w:rPr>
      <w:i/>
      <w:iCs/>
    </w:rPr>
  </w:style>
  <w:style w:type="character" w:customStyle="1" w:styleId="CarCar1">
    <w:name w:val="Car Car1"/>
    <w:rsid w:val="00EC03D4"/>
    <w:rPr>
      <w:rFonts w:ascii="Tahoma" w:hAnsi="Tahoma" w:cs="Tahoma"/>
      <w:b/>
      <w:bCs/>
      <w:sz w:val="24"/>
      <w:szCs w:val="24"/>
      <w:lang w:val="es-AR" w:eastAsia="es-ES" w:bidi="ar-SA"/>
    </w:rPr>
  </w:style>
  <w:style w:type="paragraph" w:styleId="Subttulo">
    <w:name w:val="Subtitle"/>
    <w:basedOn w:val="Normal"/>
    <w:next w:val="Normal"/>
    <w:rsid w:val="003C4959"/>
    <w:pPr>
      <w:jc w:val="center"/>
    </w:pPr>
    <w:rPr>
      <w:b/>
      <w:sz w:val="28"/>
      <w:szCs w:val="28"/>
    </w:rPr>
  </w:style>
  <w:style w:type="paragraph" w:styleId="ndice1">
    <w:name w:val="index 1"/>
    <w:basedOn w:val="Normal"/>
    <w:next w:val="Normal"/>
    <w:autoRedefine/>
    <w:semiHidden/>
    <w:rsid w:val="00EC03D4"/>
    <w:pPr>
      <w:ind w:left="200" w:hanging="200"/>
    </w:pPr>
    <w:rPr>
      <w:rFonts w:ascii="Goudy" w:hAnsi="Goudy"/>
      <w:sz w:val="20"/>
      <w:szCs w:val="20"/>
      <w:lang w:val="en-US"/>
    </w:rPr>
  </w:style>
  <w:style w:type="paragraph" w:styleId="ndice2">
    <w:name w:val="index 2"/>
    <w:basedOn w:val="Normal"/>
    <w:next w:val="Normal"/>
    <w:autoRedefine/>
    <w:semiHidden/>
    <w:rsid w:val="00EC03D4"/>
    <w:pPr>
      <w:ind w:left="400" w:hanging="200"/>
    </w:pPr>
    <w:rPr>
      <w:rFonts w:ascii="Goudy" w:hAnsi="Goudy"/>
      <w:sz w:val="20"/>
      <w:szCs w:val="20"/>
      <w:lang w:val="en-US"/>
    </w:rPr>
  </w:style>
  <w:style w:type="paragraph" w:styleId="ndice3">
    <w:name w:val="index 3"/>
    <w:basedOn w:val="Normal"/>
    <w:next w:val="Normal"/>
    <w:autoRedefine/>
    <w:semiHidden/>
    <w:rsid w:val="00EC03D4"/>
    <w:pPr>
      <w:ind w:left="600" w:hanging="200"/>
    </w:pPr>
    <w:rPr>
      <w:rFonts w:ascii="Goudy" w:hAnsi="Goudy"/>
      <w:sz w:val="20"/>
      <w:szCs w:val="20"/>
      <w:lang w:val="en-US"/>
    </w:rPr>
  </w:style>
  <w:style w:type="paragraph" w:styleId="ndice4">
    <w:name w:val="index 4"/>
    <w:basedOn w:val="Normal"/>
    <w:next w:val="Normal"/>
    <w:autoRedefine/>
    <w:semiHidden/>
    <w:rsid w:val="00EC03D4"/>
    <w:pPr>
      <w:ind w:left="800" w:hanging="200"/>
    </w:pPr>
    <w:rPr>
      <w:rFonts w:ascii="Goudy" w:hAnsi="Goudy"/>
      <w:sz w:val="20"/>
      <w:szCs w:val="20"/>
      <w:lang w:val="en-US"/>
    </w:rPr>
  </w:style>
  <w:style w:type="paragraph" w:styleId="ndice5">
    <w:name w:val="index 5"/>
    <w:basedOn w:val="Normal"/>
    <w:next w:val="Normal"/>
    <w:autoRedefine/>
    <w:semiHidden/>
    <w:rsid w:val="00EC03D4"/>
    <w:pPr>
      <w:ind w:left="1000" w:hanging="200"/>
    </w:pPr>
    <w:rPr>
      <w:rFonts w:ascii="Goudy" w:hAnsi="Goudy"/>
      <w:sz w:val="20"/>
      <w:szCs w:val="20"/>
      <w:lang w:val="en-US"/>
    </w:rPr>
  </w:style>
  <w:style w:type="paragraph" w:styleId="ndice6">
    <w:name w:val="index 6"/>
    <w:basedOn w:val="Normal"/>
    <w:next w:val="Normal"/>
    <w:autoRedefine/>
    <w:semiHidden/>
    <w:rsid w:val="00EC03D4"/>
    <w:pPr>
      <w:ind w:left="1200" w:hanging="200"/>
    </w:pPr>
    <w:rPr>
      <w:rFonts w:ascii="Goudy" w:hAnsi="Goudy"/>
      <w:sz w:val="20"/>
      <w:szCs w:val="20"/>
      <w:lang w:val="en-US"/>
    </w:rPr>
  </w:style>
  <w:style w:type="paragraph" w:styleId="ndice7">
    <w:name w:val="index 7"/>
    <w:basedOn w:val="Normal"/>
    <w:next w:val="Normal"/>
    <w:autoRedefine/>
    <w:semiHidden/>
    <w:rsid w:val="00EC03D4"/>
    <w:pPr>
      <w:ind w:left="1400" w:hanging="200"/>
    </w:pPr>
    <w:rPr>
      <w:rFonts w:ascii="Goudy" w:hAnsi="Goudy"/>
      <w:sz w:val="20"/>
      <w:szCs w:val="20"/>
      <w:lang w:val="en-US"/>
    </w:rPr>
  </w:style>
  <w:style w:type="paragraph" w:styleId="ndice8">
    <w:name w:val="index 8"/>
    <w:basedOn w:val="Normal"/>
    <w:next w:val="Normal"/>
    <w:autoRedefine/>
    <w:semiHidden/>
    <w:rsid w:val="00EC03D4"/>
    <w:pPr>
      <w:ind w:left="1600" w:hanging="200"/>
    </w:pPr>
    <w:rPr>
      <w:rFonts w:ascii="Goudy" w:hAnsi="Goudy"/>
      <w:sz w:val="20"/>
      <w:szCs w:val="20"/>
      <w:lang w:val="en-US"/>
    </w:rPr>
  </w:style>
  <w:style w:type="paragraph" w:styleId="ndice9">
    <w:name w:val="index 9"/>
    <w:basedOn w:val="Normal"/>
    <w:next w:val="Normal"/>
    <w:autoRedefine/>
    <w:semiHidden/>
    <w:rsid w:val="00EC03D4"/>
    <w:pPr>
      <w:ind w:left="1800" w:hanging="200"/>
    </w:pPr>
    <w:rPr>
      <w:rFonts w:ascii="Goudy" w:hAnsi="Goudy"/>
      <w:sz w:val="20"/>
      <w:szCs w:val="20"/>
      <w:lang w:val="en-US"/>
    </w:rPr>
  </w:style>
  <w:style w:type="paragraph" w:styleId="Ttulodendice">
    <w:name w:val="index heading"/>
    <w:basedOn w:val="Normal"/>
    <w:next w:val="ndice1"/>
    <w:semiHidden/>
    <w:rsid w:val="00EC03D4"/>
    <w:rPr>
      <w:rFonts w:ascii="Goudy" w:hAnsi="Goudy"/>
      <w:sz w:val="20"/>
      <w:szCs w:val="20"/>
      <w:lang w:val="en-US"/>
    </w:rPr>
  </w:style>
  <w:style w:type="paragraph" w:customStyle="1" w:styleId="xl30">
    <w:name w:val="xl30"/>
    <w:basedOn w:val="Normal"/>
    <w:rsid w:val="00EC03D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29">
    <w:name w:val="xl29"/>
    <w:basedOn w:val="Normal"/>
    <w:rsid w:val="00EC03D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styleId="Listaconvietas">
    <w:name w:val="List Bullet"/>
    <w:basedOn w:val="Normal"/>
    <w:rsid w:val="00EC03D4"/>
    <w:pPr>
      <w:tabs>
        <w:tab w:val="num" w:pos="360"/>
      </w:tabs>
      <w:ind w:left="360" w:hanging="360"/>
    </w:pPr>
    <w:rPr>
      <w:rFonts w:ascii="Goudy" w:hAnsi="Goudy"/>
      <w:sz w:val="20"/>
      <w:szCs w:val="20"/>
      <w:lang w:val="en-US"/>
    </w:rPr>
  </w:style>
  <w:style w:type="paragraph" w:customStyle="1" w:styleId="Default">
    <w:name w:val="Default"/>
    <w:rsid w:val="00EC03D4"/>
    <w:pPr>
      <w:autoSpaceDE w:val="0"/>
      <w:autoSpaceDN w:val="0"/>
      <w:adjustRightInd w:val="0"/>
    </w:pPr>
    <w:rPr>
      <w:rFonts w:ascii="BookmanOldStyle-Bold" w:hAnsi="BookmanOldStyle-Bold" w:cs="BookmanOldStyle-Bold"/>
    </w:rPr>
  </w:style>
  <w:style w:type="paragraph" w:customStyle="1" w:styleId="xl24">
    <w:name w:val="xl24"/>
    <w:basedOn w:val="Normal"/>
    <w:rsid w:val="00EC03D4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Textodebloque">
    <w:name w:val="Block Text"/>
    <w:basedOn w:val="Normal"/>
    <w:rsid w:val="00EC03D4"/>
    <w:pPr>
      <w:ind w:left="1843" w:right="426"/>
      <w:jc w:val="both"/>
    </w:pPr>
  </w:style>
  <w:style w:type="character" w:styleId="Textoennegrita">
    <w:name w:val="Strong"/>
    <w:uiPriority w:val="22"/>
    <w:qFormat/>
    <w:rsid w:val="00EC03D4"/>
    <w:rPr>
      <w:b/>
      <w:bCs/>
    </w:rPr>
  </w:style>
  <w:style w:type="character" w:customStyle="1" w:styleId="estilo1">
    <w:name w:val="estilo1"/>
    <w:basedOn w:val="Fuentedeprrafopredeter"/>
    <w:rsid w:val="00EC03D4"/>
  </w:style>
  <w:style w:type="paragraph" w:styleId="Lista">
    <w:name w:val="List"/>
    <w:basedOn w:val="Normal"/>
    <w:rsid w:val="00EC03D4"/>
    <w:pPr>
      <w:ind w:left="283" w:hanging="283"/>
    </w:pPr>
  </w:style>
  <w:style w:type="paragraph" w:styleId="Textoindependienteprimerasangra">
    <w:name w:val="Body Text First Indent"/>
    <w:basedOn w:val="Textoindependiente"/>
    <w:rsid w:val="00EC03D4"/>
    <w:pPr>
      <w:spacing w:after="120"/>
      <w:ind w:firstLine="210"/>
      <w:jc w:val="left"/>
    </w:pPr>
    <w:rPr>
      <w:rFonts w:ascii="Bookman Old Style" w:hAnsi="Bookman Old Style"/>
      <w:lang w:val="es-ES"/>
    </w:rPr>
  </w:style>
  <w:style w:type="character" w:customStyle="1" w:styleId="CarCar">
    <w:name w:val="Car Car"/>
    <w:rsid w:val="00EC03D4"/>
    <w:rPr>
      <w:rFonts w:ascii="Arial Narrow" w:hAnsi="Arial Narrow" w:cs="Tahoma"/>
      <w:sz w:val="24"/>
      <w:szCs w:val="24"/>
      <w:lang w:val="es-ES_tradnl" w:eastAsia="es-ES" w:bidi="ar-SA"/>
    </w:rPr>
  </w:style>
  <w:style w:type="character" w:styleId="Hipervnculovisitado">
    <w:name w:val="FollowedHyperlink"/>
    <w:rsid w:val="00EC03D4"/>
    <w:rPr>
      <w:color w:val="800080"/>
      <w:u w:val="single"/>
    </w:rPr>
  </w:style>
  <w:style w:type="character" w:customStyle="1" w:styleId="TextoindependienteCar">
    <w:name w:val="Texto independiente Car"/>
    <w:link w:val="Textoindependiente"/>
    <w:rsid w:val="008D3354"/>
    <w:rPr>
      <w:rFonts w:ascii="Arial Narrow" w:hAnsi="Arial Narrow" w:cs="Tahoma"/>
      <w:sz w:val="24"/>
      <w:szCs w:val="24"/>
      <w:lang w:val="es-ES_tradnl" w:eastAsia="es-ES"/>
    </w:rPr>
  </w:style>
  <w:style w:type="character" w:customStyle="1" w:styleId="Ttulo1Car">
    <w:name w:val="Título 1 Car"/>
    <w:link w:val="Ttulo1"/>
    <w:rsid w:val="0070454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link w:val="Ttulo2"/>
    <w:rsid w:val="00704549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3Car">
    <w:name w:val="Título 3 Car"/>
    <w:link w:val="Ttulo3"/>
    <w:rsid w:val="00704549"/>
    <w:rPr>
      <w:rFonts w:ascii="Bookman Old Style" w:hAnsi="Bookman Old Style"/>
      <w:bCs/>
      <w:sz w:val="24"/>
      <w:szCs w:val="24"/>
      <w:u w:val="single"/>
      <w:lang w:val="es-ES_tradnl" w:eastAsia="es-ES"/>
    </w:rPr>
  </w:style>
  <w:style w:type="character" w:customStyle="1" w:styleId="Sangra3detindependienteCar">
    <w:name w:val="Sangría 3 de t. independiente Car"/>
    <w:link w:val="Sangra3detindependiente"/>
    <w:uiPriority w:val="99"/>
    <w:rsid w:val="00704549"/>
    <w:rPr>
      <w:rFonts w:ascii="Bookman Old Style" w:hAnsi="Bookman Old Style"/>
      <w:sz w:val="16"/>
      <w:szCs w:val="16"/>
      <w:lang w:val="es-ES" w:eastAsia="es-ES"/>
    </w:rPr>
  </w:style>
  <w:style w:type="character" w:customStyle="1" w:styleId="PiedepginaCar">
    <w:name w:val="Pie de página Car"/>
    <w:link w:val="Piedepgina"/>
    <w:rsid w:val="004231EA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detextonormalCar">
    <w:name w:val="Sangría de texto normal Car"/>
    <w:link w:val="Sangradetextonormal"/>
    <w:rsid w:val="004231EA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2Car">
    <w:name w:val="Texto independiente 2 Car"/>
    <w:link w:val="Textoindependiente2"/>
    <w:rsid w:val="004231EA"/>
    <w:rPr>
      <w:rFonts w:ascii="Bookman Old Style" w:hAnsi="Bookman Old Style"/>
      <w:b/>
      <w:color w:val="000000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DA5B76"/>
  </w:style>
  <w:style w:type="paragraph" w:styleId="Prrafodelista">
    <w:name w:val="List Paragraph"/>
    <w:basedOn w:val="Normal"/>
    <w:uiPriority w:val="34"/>
    <w:qFormat/>
    <w:rsid w:val="00567711"/>
    <w:pPr>
      <w:spacing w:before="240"/>
      <w:ind w:left="720" w:firstLine="567"/>
      <w:contextualSpacing/>
      <w:jc w:val="right"/>
    </w:pPr>
    <w:rPr>
      <w:rFonts w:ascii="Calibri" w:eastAsia="Calibri" w:hAnsi="Calibri"/>
      <w:sz w:val="22"/>
      <w:szCs w:val="22"/>
      <w:lang w:val="es-ES_tradnl" w:eastAsia="en-US"/>
    </w:rPr>
  </w:style>
  <w:style w:type="character" w:customStyle="1" w:styleId="Ttulo7Car">
    <w:name w:val="Título 7 Car"/>
    <w:link w:val="Ttulo7"/>
    <w:rsid w:val="003257FB"/>
    <w:rPr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Sangra2detindependiente"/>
    <w:rsid w:val="00DD2FBA"/>
    <w:rPr>
      <w:rFonts w:ascii="Bookman Old Style" w:hAnsi="Bookman Old Style"/>
      <w:sz w:val="24"/>
      <w:szCs w:val="24"/>
      <w:lang w:val="es-ES" w:eastAsia="es-ES"/>
    </w:rPr>
  </w:style>
  <w:style w:type="character" w:customStyle="1" w:styleId="TtuloCar">
    <w:name w:val="Título Car"/>
    <w:link w:val="Ttulo"/>
    <w:rsid w:val="00BE166B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customStyle="1" w:styleId="Prrafodelista1">
    <w:name w:val="Párrafo de lista1"/>
    <w:basedOn w:val="Normal"/>
    <w:qFormat/>
    <w:rsid w:val="002C75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Ttulo4Car">
    <w:name w:val="Título 4 Car"/>
    <w:link w:val="Ttulo4"/>
    <w:uiPriority w:val="99"/>
    <w:rsid w:val="00313FB6"/>
    <w:rPr>
      <w:rFonts w:ascii="Bookman Old Style" w:hAnsi="Bookman Old Style"/>
      <w:sz w:val="24"/>
      <w:szCs w:val="24"/>
      <w:u w:val="single"/>
      <w:lang w:val="es-ES_tradnl" w:eastAsia="es-ES"/>
    </w:rPr>
  </w:style>
  <w:style w:type="character" w:customStyle="1" w:styleId="Ttulo5Car">
    <w:name w:val="Título 5 Car"/>
    <w:link w:val="Ttulo5"/>
    <w:rsid w:val="00313FB6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paragraph" w:customStyle="1" w:styleId="yiv9286159867msonormal">
    <w:name w:val="yiv9286159867msonormal"/>
    <w:basedOn w:val="Normal"/>
    <w:rsid w:val="00313FB6"/>
    <w:pPr>
      <w:spacing w:before="100" w:beforeAutospacing="1" w:after="100" w:afterAutospacing="1"/>
    </w:pPr>
    <w:rPr>
      <w:rFonts w:ascii="Times New Roman" w:hAnsi="Times New Roman"/>
      <w:lang w:val="es-AR" w:eastAsia="es-AR"/>
    </w:rPr>
  </w:style>
  <w:style w:type="character" w:customStyle="1" w:styleId="EncabezadoCar">
    <w:name w:val="Encabezado Car"/>
    <w:link w:val="Encabezado"/>
    <w:uiPriority w:val="99"/>
    <w:rsid w:val="00D51721"/>
    <w:rPr>
      <w:rFonts w:ascii="Bookman Old Style" w:hAnsi="Bookman Old Style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Rv/mXDoF673NHWYTDqzu3jEWSw==">CgMxLjA4AGooChRzdWdnZXN0Lnd4YTRhbGFxOTd5aRIQQmxvcXVlIENvbXVuaWRhZHIhMWlsMlhBZVFzNmdRVUI2T1J1V0d1LXJLNElaaUZfVkRJ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850</Words>
  <Characters>4680</Characters>
  <Application>Microsoft Office Word</Application>
  <DocSecurity>0</DocSecurity>
  <Lines>39</Lines>
  <Paragraphs>11</Paragraphs>
  <ScaleCrop>false</ScaleCrop>
  <Company/>
  <LinksUpToDate>false</LinksUpToDate>
  <CharactersWithSpaces>5519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38</cp:revision>
  <cp:lastPrinted>2024-07-05T12:06:00Z</cp:lastPrinted>
  <dcterms:created xsi:type="dcterms:W3CDTF">2024-04-23T14:50:00Z</dcterms:created>
  <dcterms:modified xsi:type="dcterms:W3CDTF">2024-07-11T12:15:00Z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